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73" w:rsidRPr="009D3DC5" w:rsidRDefault="00705317">
      <w:pPr>
        <w:rPr>
          <w:b/>
          <w:sz w:val="36"/>
          <w:szCs w:val="36"/>
        </w:rPr>
      </w:pPr>
      <w:bookmarkStart w:id="0" w:name="_GoBack"/>
      <w:bookmarkEnd w:id="0"/>
      <w:r w:rsidRPr="009D3DC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0" allowOverlap="1" wp14:anchorId="3C6B8CB7" wp14:editId="05022D90">
            <wp:simplePos x="0" y="0"/>
            <wp:positionH relativeFrom="column">
              <wp:posOffset>5162550</wp:posOffset>
            </wp:positionH>
            <wp:positionV relativeFrom="paragraph">
              <wp:posOffset>-762000</wp:posOffset>
            </wp:positionV>
            <wp:extent cx="847725" cy="1226820"/>
            <wp:effectExtent l="0" t="0" r="9525" b="0"/>
            <wp:wrapTopAndBottom/>
            <wp:docPr id="2" name="Picture 2" descr="LOG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D73" w:rsidRPr="009D3DC5">
        <w:rPr>
          <w:b/>
          <w:sz w:val="36"/>
          <w:szCs w:val="36"/>
        </w:rPr>
        <w:t xml:space="preserve">PUBLIC NOTICE: </w:t>
      </w:r>
    </w:p>
    <w:p w:rsidR="007052ED" w:rsidRPr="009D3DC5" w:rsidRDefault="00E05D73" w:rsidP="00E05D73">
      <w:pPr>
        <w:jc w:val="center"/>
        <w:rPr>
          <w:b/>
          <w:sz w:val="36"/>
          <w:szCs w:val="36"/>
          <w:u w:val="single"/>
        </w:rPr>
      </w:pPr>
      <w:r w:rsidRPr="009D3DC5">
        <w:rPr>
          <w:b/>
          <w:sz w:val="36"/>
          <w:szCs w:val="36"/>
          <w:u w:val="single"/>
        </w:rPr>
        <w:t>ARTICLE 4(1) DIRECTION HAS BEEN MADE</w:t>
      </w:r>
    </w:p>
    <w:p w:rsidR="00346963" w:rsidRDefault="00346963" w:rsidP="00E05D73">
      <w:pPr>
        <w:spacing w:after="0" w:line="240" w:lineRule="auto"/>
        <w:jc w:val="both"/>
      </w:pPr>
    </w:p>
    <w:p w:rsidR="00E05D73" w:rsidRPr="009D3DC5" w:rsidRDefault="00E05D73" w:rsidP="00E05D73">
      <w:pPr>
        <w:spacing w:after="0" w:line="240" w:lineRule="auto"/>
        <w:jc w:val="both"/>
        <w:rPr>
          <w:rFonts w:eastAsia="Times New Roman" w:cs="Arial"/>
          <w:b/>
          <w:szCs w:val="24"/>
          <w:lang w:eastAsia="en-GB"/>
        </w:rPr>
      </w:pPr>
      <w:r w:rsidRPr="009D3DC5">
        <w:rPr>
          <w:rFonts w:eastAsia="Times New Roman" w:cs="Arial"/>
          <w:b/>
          <w:szCs w:val="24"/>
          <w:lang w:eastAsia="en-GB"/>
        </w:rPr>
        <w:t xml:space="preserve">Please note that this Article 4(1) Direction takes </w:t>
      </w:r>
      <w:r w:rsidRPr="009D3DC5">
        <w:rPr>
          <w:rFonts w:eastAsia="Times New Roman" w:cs="Arial"/>
          <w:b/>
          <w:sz w:val="28"/>
          <w:szCs w:val="28"/>
          <w:u w:val="single"/>
          <w:lang w:eastAsia="en-GB"/>
        </w:rPr>
        <w:t>immediate</w:t>
      </w:r>
      <w:r w:rsidRPr="009D3DC5">
        <w:rPr>
          <w:rFonts w:eastAsia="Times New Roman" w:cs="Arial"/>
          <w:b/>
          <w:szCs w:val="24"/>
          <w:lang w:eastAsia="en-GB"/>
        </w:rPr>
        <w:t xml:space="preserve"> effect.</w:t>
      </w:r>
    </w:p>
    <w:p w:rsidR="00E05D73" w:rsidRPr="009D3DC5" w:rsidRDefault="00E05D73" w:rsidP="00E05D73">
      <w:pPr>
        <w:spacing w:after="0" w:line="240" w:lineRule="auto"/>
        <w:jc w:val="both"/>
        <w:rPr>
          <w:rFonts w:eastAsia="Times New Roman" w:cs="Arial"/>
          <w:b/>
          <w:sz w:val="22"/>
          <w:u w:val="single"/>
          <w:lang w:eastAsia="en-GB"/>
        </w:rPr>
      </w:pPr>
    </w:p>
    <w:p w:rsidR="00E05D73" w:rsidRPr="009D3DC5" w:rsidRDefault="00E05D73" w:rsidP="00E05D73">
      <w:pPr>
        <w:spacing w:after="0" w:line="240" w:lineRule="auto"/>
        <w:jc w:val="both"/>
        <w:rPr>
          <w:rFonts w:eastAsia="Times New Roman" w:cs="Arial"/>
          <w:sz w:val="22"/>
          <w:u w:val="single"/>
          <w:lang w:eastAsia="en-GB"/>
        </w:rPr>
      </w:pPr>
      <w:r w:rsidRPr="009D3DC5">
        <w:rPr>
          <w:rFonts w:eastAsia="Times New Roman" w:cs="Arial"/>
          <w:sz w:val="22"/>
          <w:u w:val="single"/>
          <w:lang w:eastAsia="en-GB"/>
        </w:rPr>
        <w:t>The development and site to which the direction relates</w:t>
      </w:r>
    </w:p>
    <w:p w:rsidR="00E05D73" w:rsidRPr="009D3DC5" w:rsidRDefault="00E05D73" w:rsidP="00E05D73">
      <w:pPr>
        <w:spacing w:after="0" w:line="240" w:lineRule="auto"/>
        <w:jc w:val="both"/>
        <w:rPr>
          <w:rFonts w:eastAsia="Times New Roman" w:cs="Arial"/>
          <w:sz w:val="22"/>
          <w:u w:val="single"/>
          <w:lang w:eastAsia="en-GB"/>
        </w:rPr>
      </w:pPr>
    </w:p>
    <w:p w:rsidR="00E05D73" w:rsidRPr="009D3DC5" w:rsidRDefault="00E05D73" w:rsidP="00E05D73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D3DC5">
        <w:rPr>
          <w:rFonts w:eastAsia="Times New Roman" w:cs="Arial"/>
          <w:sz w:val="22"/>
          <w:lang w:eastAsia="en-GB"/>
        </w:rPr>
        <w:t>This Article 4(1) Direction relates to the removal of permitted development rights at:</w:t>
      </w:r>
    </w:p>
    <w:p w:rsidR="00E05D73" w:rsidRPr="009D3DC5" w:rsidRDefault="00E05D73" w:rsidP="00E05D73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:rsidR="00895A92" w:rsidRPr="00895A92" w:rsidRDefault="00895A92" w:rsidP="00895A92">
      <w:pPr>
        <w:spacing w:after="0" w:line="240" w:lineRule="auto"/>
        <w:jc w:val="both"/>
        <w:rPr>
          <w:sz w:val="22"/>
        </w:rPr>
      </w:pPr>
      <w:r w:rsidRPr="00895A92">
        <w:rPr>
          <w:sz w:val="22"/>
        </w:rPr>
        <w:t>LAND TO THE SOUTH-EAST OF CHURCH ROAD, LITTLE GADDESDEN</w:t>
      </w:r>
    </w:p>
    <w:p w:rsidR="00895A92" w:rsidRDefault="00895A92" w:rsidP="009D3DC5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:rsidR="009D3DC5" w:rsidRDefault="009D3DC5" w:rsidP="009D3DC5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D3DC5">
        <w:rPr>
          <w:rFonts w:eastAsia="Times New Roman" w:cs="Arial"/>
          <w:sz w:val="22"/>
          <w:lang w:eastAsia="en-GB"/>
        </w:rPr>
        <w:t>The permitted development rights affected are:</w:t>
      </w:r>
    </w:p>
    <w:p w:rsidR="009D3DC5" w:rsidRPr="009D3DC5" w:rsidRDefault="009D3DC5" w:rsidP="009D3DC5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:rsidR="009D3DC5" w:rsidRPr="009D3DC5" w:rsidRDefault="009D3DC5" w:rsidP="009D3DC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2"/>
          <w:lang w:eastAsia="en-GB"/>
        </w:rPr>
      </w:pPr>
      <w:r w:rsidRPr="009D3DC5">
        <w:rPr>
          <w:rFonts w:eastAsia="Times New Roman" w:cs="Arial"/>
          <w:b/>
          <w:bCs/>
          <w:sz w:val="22"/>
          <w:lang w:eastAsia="en-GB"/>
        </w:rPr>
        <w:t>the erection, construction, improvement or alteration of a gate, fence, wall or other means of enclosure</w:t>
      </w:r>
      <w:r w:rsidRPr="009D3DC5">
        <w:rPr>
          <w:rFonts w:eastAsia="Times New Roman" w:cs="Arial"/>
          <w:bCs/>
          <w:sz w:val="22"/>
          <w:lang w:eastAsia="en-GB"/>
        </w:rPr>
        <w:t xml:space="preserve"> </w:t>
      </w:r>
      <w:r w:rsidRPr="009D3DC5">
        <w:rPr>
          <w:rFonts w:eastAsia="Times New Roman" w:cs="Arial"/>
          <w:sz w:val="22"/>
          <w:lang w:eastAsia="en-GB"/>
        </w:rPr>
        <w:t>referred to in paragraph A.2 being development comprised within Class A of Part 2 of Schedule 2 to the Town and Country Planning (General Permitted Development) (England) Order 2015.</w:t>
      </w:r>
    </w:p>
    <w:p w:rsidR="009D3DC5" w:rsidRPr="009D3DC5" w:rsidRDefault="009D3DC5" w:rsidP="009D3DC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iCs/>
          <w:sz w:val="22"/>
          <w:lang w:eastAsia="en-GB"/>
        </w:rPr>
      </w:pPr>
      <w:r w:rsidRPr="009D3DC5">
        <w:rPr>
          <w:rFonts w:eastAsia="Times New Roman" w:cs="Arial"/>
          <w:b/>
          <w:bCs/>
          <w:iCs/>
          <w:sz w:val="22"/>
          <w:lang w:eastAsia="en-GB"/>
        </w:rPr>
        <w:t>The formation, laying out and construction of a means of access to a highway</w:t>
      </w:r>
      <w:r w:rsidRPr="009D3DC5">
        <w:rPr>
          <w:rFonts w:eastAsia="Times New Roman" w:cs="Arial"/>
          <w:bCs/>
          <w:iCs/>
          <w:sz w:val="22"/>
          <w:lang w:eastAsia="en-GB"/>
        </w:rPr>
        <w:t xml:space="preserve"> which is not a trunk road or a classified road, where that access is required in connection with development permitted by any Class in this Schedule (other than by Class A of this Part) </w:t>
      </w:r>
      <w:r w:rsidRPr="009D3DC5">
        <w:rPr>
          <w:rFonts w:eastAsia="Times New Roman" w:cs="Arial"/>
          <w:sz w:val="22"/>
          <w:lang w:eastAsia="en-GB"/>
        </w:rPr>
        <w:t xml:space="preserve">being development comprised within Class B of Part 2 of Schedule 2 to the Order and not being development within any other Class. </w:t>
      </w:r>
    </w:p>
    <w:p w:rsidR="009D3DC5" w:rsidRPr="009D3DC5" w:rsidRDefault="009D3DC5" w:rsidP="009D3DC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D3DC5">
        <w:rPr>
          <w:rFonts w:eastAsia="Times New Roman" w:cs="Arial"/>
          <w:b/>
          <w:sz w:val="22"/>
          <w:lang w:eastAsia="en-GB"/>
        </w:rPr>
        <w:t>Temporary use of land</w:t>
      </w:r>
      <w:r w:rsidRPr="009D3DC5">
        <w:rPr>
          <w:rFonts w:eastAsia="Times New Roman" w:cs="Arial"/>
          <w:sz w:val="22"/>
          <w:lang w:eastAsia="en-GB"/>
        </w:rPr>
        <w:t xml:space="preserve"> </w:t>
      </w:r>
      <w:r w:rsidRPr="009D3DC5">
        <w:rPr>
          <w:rFonts w:eastAsia="Times New Roman" w:cs="Arial"/>
          <w:bCs/>
          <w:sz w:val="22"/>
          <w:lang w:eastAsia="en-GB"/>
        </w:rPr>
        <w:t>comprised within Class B of Part 4 of Schedule 2 to the Order and not being development within any other Class.</w:t>
      </w:r>
    </w:p>
    <w:p w:rsidR="009D3DC5" w:rsidRPr="009D3DC5" w:rsidRDefault="009D3DC5" w:rsidP="009D3DC5">
      <w:pPr>
        <w:spacing w:after="0" w:line="240" w:lineRule="auto"/>
        <w:jc w:val="both"/>
        <w:rPr>
          <w:rFonts w:eastAsia="Times New Roman" w:cs="Arial"/>
          <w:b/>
          <w:bCs/>
          <w:szCs w:val="24"/>
          <w:lang w:eastAsia="en-GB"/>
        </w:rPr>
      </w:pPr>
    </w:p>
    <w:p w:rsidR="009D3DC5" w:rsidRPr="009D3DC5" w:rsidRDefault="009D3DC5" w:rsidP="009D3DC5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D3DC5">
        <w:rPr>
          <w:rFonts w:eastAsia="Times New Roman" w:cs="Arial"/>
          <w:sz w:val="22"/>
          <w:lang w:eastAsia="en-GB"/>
        </w:rPr>
        <w:t>The effect of the Article 4(1) Direction is that development comprising the erection, construction, improvement or alteration of a gate, fence, wall or other means of enclosure; t</w:t>
      </w:r>
      <w:r w:rsidRPr="009D3DC5">
        <w:rPr>
          <w:rFonts w:eastAsia="Times New Roman" w:cs="Arial"/>
          <w:bCs/>
          <w:iCs/>
          <w:sz w:val="22"/>
          <w:lang w:eastAsia="en-GB"/>
        </w:rPr>
        <w:t xml:space="preserve">he formation, laying out and construction of a means of access to a highway; and </w:t>
      </w:r>
      <w:r w:rsidRPr="009D3DC5">
        <w:rPr>
          <w:rFonts w:eastAsia="Times New Roman" w:cs="Arial"/>
          <w:sz w:val="22"/>
          <w:lang w:eastAsia="en-GB"/>
        </w:rPr>
        <w:t>temporary use of the land, will now require the formal determination of the local planning authority through the submission of a planning application.</w:t>
      </w:r>
    </w:p>
    <w:p w:rsidR="00E05D73" w:rsidRPr="00E05D73" w:rsidRDefault="00E05D73" w:rsidP="00E05D7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</w:p>
    <w:p w:rsidR="00E05D73" w:rsidRPr="00346963" w:rsidRDefault="00E05D73" w:rsidP="00E05D73">
      <w:pPr>
        <w:spacing w:after="0" w:line="240" w:lineRule="auto"/>
        <w:jc w:val="both"/>
        <w:rPr>
          <w:rFonts w:eastAsia="Times New Roman" w:cs="Arial"/>
          <w:sz w:val="22"/>
          <w:u w:val="single"/>
          <w:lang w:eastAsia="en-GB"/>
        </w:rPr>
      </w:pPr>
      <w:r w:rsidRPr="00346963">
        <w:rPr>
          <w:rFonts w:eastAsia="Times New Roman" w:cs="Arial"/>
          <w:sz w:val="22"/>
          <w:u w:val="single"/>
          <w:lang w:eastAsia="en-GB"/>
        </w:rPr>
        <w:t>How to view a copy of the Direction</w:t>
      </w:r>
    </w:p>
    <w:p w:rsidR="00E05D73" w:rsidRPr="00346963" w:rsidRDefault="00E05D73" w:rsidP="00E05D73">
      <w:pPr>
        <w:spacing w:after="0" w:line="240" w:lineRule="auto"/>
        <w:jc w:val="both"/>
        <w:rPr>
          <w:rFonts w:eastAsia="Times New Roman" w:cs="Arial"/>
          <w:sz w:val="22"/>
          <w:u w:val="single"/>
          <w:lang w:eastAsia="en-GB"/>
        </w:rPr>
      </w:pPr>
    </w:p>
    <w:p w:rsidR="00E05D73" w:rsidRPr="00346963" w:rsidRDefault="00E05D73" w:rsidP="00E05D73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346963">
        <w:rPr>
          <w:rFonts w:eastAsia="Times New Roman" w:cs="Arial"/>
          <w:sz w:val="22"/>
          <w:lang w:eastAsia="en-GB"/>
        </w:rPr>
        <w:t xml:space="preserve">A copy of the Direction, and a copy of the map defining the area to which it relates, can be viewed </w:t>
      </w:r>
      <w:r w:rsidR="00FF24F7">
        <w:rPr>
          <w:rFonts w:eastAsia="Times New Roman" w:cs="Arial"/>
          <w:sz w:val="22"/>
          <w:lang w:eastAsia="en-GB"/>
        </w:rPr>
        <w:t xml:space="preserve">on the Council’s website or </w:t>
      </w:r>
      <w:r w:rsidRPr="00346963">
        <w:rPr>
          <w:rFonts w:eastAsia="Times New Roman" w:cs="Arial"/>
          <w:sz w:val="22"/>
          <w:lang w:eastAsia="en-GB"/>
        </w:rPr>
        <w:t>at the Dacorum Borough Council offices (</w:t>
      </w:r>
      <w:r w:rsidR="00CD307D">
        <w:rPr>
          <w:rFonts w:eastAsia="Times New Roman" w:cs="Arial"/>
          <w:sz w:val="22"/>
          <w:lang w:eastAsia="en-GB"/>
        </w:rPr>
        <w:t>The Forum</w:t>
      </w:r>
      <w:r w:rsidRPr="00346963">
        <w:rPr>
          <w:rFonts w:eastAsia="Times New Roman" w:cs="Arial"/>
          <w:sz w:val="22"/>
          <w:lang w:eastAsia="en-GB"/>
        </w:rPr>
        <w:t>, Ma</w:t>
      </w:r>
      <w:r w:rsidR="00CD307D">
        <w:rPr>
          <w:rFonts w:eastAsia="Times New Roman" w:cs="Arial"/>
          <w:sz w:val="22"/>
          <w:lang w:eastAsia="en-GB"/>
        </w:rPr>
        <w:t>rlowes, Hemel Hempstead, HP1 1DN</w:t>
      </w:r>
      <w:r w:rsidRPr="00346963">
        <w:rPr>
          <w:rFonts w:eastAsia="Times New Roman" w:cs="Arial"/>
          <w:sz w:val="22"/>
          <w:lang w:eastAsia="en-GB"/>
        </w:rPr>
        <w:t>) during normal office hours.</w:t>
      </w:r>
    </w:p>
    <w:p w:rsidR="00E05D73" w:rsidRPr="00346963" w:rsidRDefault="00E05D73" w:rsidP="00E05D73">
      <w:pPr>
        <w:spacing w:after="0" w:line="240" w:lineRule="auto"/>
        <w:rPr>
          <w:rFonts w:eastAsia="Times New Roman" w:cs="Arial"/>
          <w:sz w:val="22"/>
          <w:lang w:eastAsia="en-GB"/>
        </w:rPr>
      </w:pPr>
    </w:p>
    <w:p w:rsidR="00E05D73" w:rsidRPr="00346963" w:rsidRDefault="00E05D73" w:rsidP="00E05D73">
      <w:pPr>
        <w:spacing w:after="0" w:line="240" w:lineRule="auto"/>
        <w:jc w:val="both"/>
        <w:rPr>
          <w:rFonts w:eastAsia="Times New Roman" w:cs="Arial"/>
          <w:sz w:val="22"/>
          <w:u w:val="single"/>
          <w:lang w:eastAsia="en-GB"/>
        </w:rPr>
      </w:pPr>
      <w:r w:rsidRPr="00346963">
        <w:rPr>
          <w:rFonts w:eastAsia="Times New Roman" w:cs="Arial"/>
          <w:sz w:val="22"/>
          <w:u w:val="single"/>
          <w:lang w:eastAsia="en-GB"/>
        </w:rPr>
        <w:t>How can representations be made to the local planning authority</w:t>
      </w:r>
    </w:p>
    <w:p w:rsidR="00E05D73" w:rsidRPr="00346963" w:rsidRDefault="00E05D73" w:rsidP="00E05D73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:rsidR="00E05D73" w:rsidRPr="00346963" w:rsidRDefault="00E05D73" w:rsidP="00E05D73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346963">
        <w:rPr>
          <w:rFonts w:eastAsia="Times New Roman" w:cs="Arial"/>
          <w:sz w:val="22"/>
          <w:lang w:eastAsia="en-GB"/>
        </w:rPr>
        <w:t>Representations concerning this Article 4(1) Direction can be made to the local planning authority by e-mail:</w:t>
      </w:r>
      <w:r w:rsidR="009D3DC5">
        <w:rPr>
          <w:rFonts w:eastAsia="Times New Roman" w:cs="Arial"/>
          <w:sz w:val="22"/>
          <w:lang w:eastAsia="en-GB"/>
        </w:rPr>
        <w:t xml:space="preserve"> </w:t>
      </w:r>
      <w:hyperlink r:id="rId6" w:history="1">
        <w:r w:rsidRPr="00346963">
          <w:rPr>
            <w:rFonts w:eastAsia="Times New Roman" w:cs="Arial"/>
            <w:color w:val="0000FF"/>
            <w:sz w:val="22"/>
            <w:u w:val="single"/>
            <w:lang w:eastAsia="en-GB"/>
          </w:rPr>
          <w:t>planning@dacorum.gov.uk</w:t>
        </w:r>
      </w:hyperlink>
    </w:p>
    <w:p w:rsidR="00E05D73" w:rsidRPr="00346963" w:rsidRDefault="00E05D73" w:rsidP="00E05D73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:rsidR="00E05D73" w:rsidRDefault="00E05D73" w:rsidP="00E05D73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346963">
        <w:rPr>
          <w:rFonts w:eastAsia="Times New Roman" w:cs="Arial"/>
          <w:sz w:val="22"/>
          <w:lang w:eastAsia="en-GB"/>
        </w:rPr>
        <w:t>or by writing to:</w:t>
      </w:r>
      <w:r w:rsidR="009D3DC5">
        <w:rPr>
          <w:rFonts w:eastAsia="Times New Roman" w:cs="Arial"/>
          <w:sz w:val="22"/>
          <w:lang w:eastAsia="en-GB"/>
        </w:rPr>
        <w:t xml:space="preserve"> </w:t>
      </w:r>
      <w:r w:rsidRPr="00346963">
        <w:rPr>
          <w:rFonts w:eastAsia="Times New Roman" w:cs="Arial"/>
          <w:sz w:val="22"/>
          <w:lang w:eastAsia="en-GB"/>
        </w:rPr>
        <w:t xml:space="preserve">Planning Department, Dacorum Borough Council, </w:t>
      </w:r>
      <w:r w:rsidR="00CD307D">
        <w:rPr>
          <w:rFonts w:eastAsia="Times New Roman" w:cs="Arial"/>
          <w:sz w:val="22"/>
          <w:lang w:eastAsia="en-GB"/>
        </w:rPr>
        <w:t xml:space="preserve">The Forum, </w:t>
      </w:r>
      <w:r w:rsidRPr="00346963">
        <w:rPr>
          <w:rFonts w:eastAsia="Times New Roman" w:cs="Arial"/>
          <w:sz w:val="22"/>
          <w:lang w:eastAsia="en-GB"/>
        </w:rPr>
        <w:t>Ma</w:t>
      </w:r>
      <w:r w:rsidR="00CD307D">
        <w:rPr>
          <w:rFonts w:eastAsia="Times New Roman" w:cs="Arial"/>
          <w:sz w:val="22"/>
          <w:lang w:eastAsia="en-GB"/>
        </w:rPr>
        <w:t>rlowes, Hemel Hempstead, HP1 1DN</w:t>
      </w:r>
      <w:r w:rsidRPr="00346963">
        <w:rPr>
          <w:rFonts w:eastAsia="Times New Roman" w:cs="Arial"/>
          <w:sz w:val="22"/>
          <w:lang w:eastAsia="en-GB"/>
        </w:rPr>
        <w:t>.</w:t>
      </w:r>
    </w:p>
    <w:p w:rsidR="009D3DC5" w:rsidRPr="00346963" w:rsidRDefault="009D3DC5" w:rsidP="00E05D73">
      <w:pPr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:rsidR="00E05D73" w:rsidRPr="00346963" w:rsidRDefault="00E05D73" w:rsidP="00E05D73">
      <w:pPr>
        <w:rPr>
          <w:sz w:val="22"/>
        </w:rPr>
      </w:pPr>
      <w:r w:rsidRPr="00346963">
        <w:rPr>
          <w:rFonts w:eastAsia="Times New Roman" w:cs="Arial"/>
          <w:sz w:val="22"/>
          <w:lang w:eastAsia="en-GB"/>
        </w:rPr>
        <w:t xml:space="preserve">These representations can be made to Dacorum Borough Council between </w:t>
      </w:r>
      <w:r w:rsidR="00895A92" w:rsidRPr="00895A92">
        <w:rPr>
          <w:b/>
          <w:bCs/>
          <w:sz w:val="22"/>
        </w:rPr>
        <w:t>14 November 2019 and 15 December 2019.</w:t>
      </w:r>
    </w:p>
    <w:sectPr w:rsidR="00E05D73" w:rsidRPr="00346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F14C5"/>
    <w:multiLevelType w:val="hybridMultilevel"/>
    <w:tmpl w:val="19C87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73"/>
    <w:rsid w:val="00346963"/>
    <w:rsid w:val="007052ED"/>
    <w:rsid w:val="00705317"/>
    <w:rsid w:val="00895A92"/>
    <w:rsid w:val="009D3DC5"/>
    <w:rsid w:val="00AD31E3"/>
    <w:rsid w:val="00C14F7A"/>
    <w:rsid w:val="00CD307D"/>
    <w:rsid w:val="00E05D73"/>
    <w:rsid w:val="00E872E8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883D6-4E93-4899-8D21-F145A386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dacorum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Dacorum Borough Council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Stanley</dc:creator>
  <cp:lastModifiedBy>A Clerk</cp:lastModifiedBy>
  <cp:revision>2</cp:revision>
  <cp:lastPrinted>2019-11-14T11:05:00Z</cp:lastPrinted>
  <dcterms:created xsi:type="dcterms:W3CDTF">2019-11-20T12:45:00Z</dcterms:created>
  <dcterms:modified xsi:type="dcterms:W3CDTF">2019-11-20T12:45:00Z</dcterms:modified>
</cp:coreProperties>
</file>